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43</w:t>
      </w:r>
    </w:p>
    <w:p>
      <w:r>
        <w:t>Bundesgericht (BGE), 1967-03-17, DE</w:t>
      </w:r>
    </w:p>
    <w:p>
      <w:r>
        <w:rPr>
          <w:b/>
        </w:rPr>
        <w:t xml:space="preserve">Quelle: </w:t>
      </w:r>
      <w:r>
        <w:t>https://mcp.opencaselaw.ch/entscheid/bge_93 IV 43</w:t>
      </w:r>
    </w:p>
    <w:p>
      <w:r>
        <w:t>FR: ATF 93 IV 43</w:t>
      </w:r>
    </w:p>
    <w:p>
      <w:r>
        <w:t>IT: DTF 93 IV 43</w:t>
      </w:r>
    </w:p>
    <w:p>
      <w:pPr>
        <w:pStyle w:val="Heading2"/>
      </w:pPr>
      <w:r>
        <w:t>Regeste</w:t>
      </w:r>
    </w:p>
    <w:p>
      <w:r>
        <w:t>Regeste Art. 92 Abs. 2 SVG ist auch bei fahrlässiger Begehung anwendbar.</w:t>
      </w:r>
    </w:p>
    <w:p>
      <w:pPr>
        <w:pStyle w:val="Heading2"/>
      </w:pPr>
      <w:r>
        <w:t>Erwägungen</w:t>
      </w:r>
    </w:p>
    <w:p>
      <w:r>
        <w:rPr>
          <w:b/>
        </w:rPr>
        <w:t>E. 1</w:t>
      </w:r>
    </w:p>
    <w:p>
      <w:r>
        <w:t>Zauser bestreitet mit Recht nicht, dass der Tatbestand des Art. 92 Abs. 2 SVG objektiv gegeben ist. Dadurch, dass er als Fahrzeugführer bei einem Verkehrsunfall einen Menschen verletzt hat und, ohne sich um ihn zu kümmern, nach Hause gefahren ist, hat er in der Tat alle objektiven Voraussetzungen für die Anwendung dieser Bestimmung erfüllt. Die Vorinstanz glaubt aber, Art. 92 Abs. 2 SVG darum nicht anwenden zu dürfen, weil diese Bestimmung stets ein vorsätzliches Handeln verlange. Diese subjektive Voraussetzung treffe "trotz vieler den Angeklagten stark belastenden Indizien" nicht zu. Weder sei rechtsgenügend nachgewiesen, dass Zauser den Fussgänger vor oder während des Zusammenstosses bemerkt habe, noch stehe ausser Zweifel, dass er den Verletzten BGE 93 IV 43 S. 45 nachher auf der Strasse habe liegen sehen; es müsse auch verneint werden, dass Zauser überhaupt mit der Verletzung eines Fussgängers gerechnet habe. An diese Feststellungen, die tatsächlicher Natur sind, ist der Kassationshof von Gesetzes wegen gebunden ( Art. 277 bis Abs. 1 BStP ). Sie schliessen die Annahme vorsätzlicher oder eventualvorsätzlicher Begehung aus. Es ist daher gemäss dem Antrag der Beschwerdeführerin zu prüfen, ob pflichtwidriges Verhalten bei Unfall im Sinn von Art. 92 Abs 2 SVG auch fahrlässig verübt werden könne.</w:t>
      </w:r>
    </w:p>
    <w:p>
      <w:r>
        <w:rPr>
          <w:b/>
        </w:rPr>
        <w:t>E. 2</w:t>
      </w:r>
    </w:p>
    <w:p>
      <w:r>
        <w:t>Nach der allgemeinen Regel des Art. 100 Ziff. 1 Abs. 1 SVG , die für alle im Strassenverkehrsgesetz umschriebenen Straftatbestände, auch die Vergehen, Geltung hat, ist neben der vorsätzlichen stets auch die fahrlässige Begehung strafbar, sofern das Gesetz es nicht ausdrücklich anders bestimmt. Es ist daher zu untersuchen, ob Art. 92 Abs. 2 SVG die Strafbarkeit der Unfallflucht ausdrücklich auf die vorsätzliche Verübungsform beschränkt. a) Wo das SVG eine Strafbestimmung nur auf die vorsätzlich begangene Tat angewendet wissen will, gebraucht es regelmässig die eindeutige Wendung "wer vorsätzlich..." (vgl. Art. 91 Abs. 3, 93 Ziff. 1 Abs. 1, 97 Ziff. 1 Abs. 4 und 7, 98 Abs. 1 SVG). Davon ist bei Art. 92 SVG weder in Abs. 1 noch Abs. 2 die Rede. b) Auch der übrige Wortlaut von Art. 92 Abs. 2 SVG weist nicht auf ein ausschliessliches Vorsatzdelikt hin. Während etwa der Tatbestand des Führens eines Motorfahrzeugs trotz Verweigerung oder Entzug des Führer- oder Lernfahrausweises gemäss Art. 95 Ziff. 2 SVG notwendig die Kenntnis der Verweigerung oder des Entzugs voraussetzt, gilt das Gleiche nicht für die Verletzung oder Tötung eines Menschen. c) Der in Abs. 2 des Art. 92 SVG verwendete Ausdruck "ergreift ein Fahrzeugführer... die Flucht" vermag ebenfalls nicht den Schluss zu rechtfertigen, dass (wie KARMANN, SJZ 1960 S. 236 und BADERTSCHER/SCHLEGEL, Kommentar zu Art. 92 Abs. 2 SVG S. 260 annehmen) der Tatbestand des Art. 92 Abs. 2 SVG ein Vorsatzdelikt und diese Bestimmung daher auf den fahrlässig handelnden Täter nicht anwendbar sei. Art. L. 2 des französischen Code de la Route charakterisiert die Führerflucht als Vorsatzdelikt, indem er bestimmt: "Tout conducteur d'un véhicule qui, sachant que ce véhicule vient de causer ou d'occasionner un accident, ne se sera pas arrêté...". BGE 93 IV 43 S. 46 Ebenso stellt § 142 des deutschen StGB ausdrücklich nur die vorsätzlich begangene Flucht nach Verkehrsunfall unter Strafe. Gerade dieser ausdrückliche Hinweis auf den Vorsatz zeigt, dass die Unfallflucht auch fahrlässig ergriffen werden kann. Nach SCHOENKE/SCHROEDER, Kommentar zu § 142 N. 18, liegt Flucht vor, wenn jemand die Unfallstätte in einer Entfernung verlässt, in der er nicht ohne weiteres erreichbar oder als Beteiligter feststellbar ist. Ähnliches gilt für Art. 92 Abs. 2 SVG . Wie Abs. 1 verweist auch Abs. 2 dieser Bestimmung auf die durch das Gesetz bei Unfall gebotenen Pflichten, wonach der an einem Unfall beteiligte Motorfahrzeugführer gemäss Art. 51 Abs. 1 SVG u.a. sofort anhalten muss. Die Flucht ergreift somit ganz einfach jeder Motorfahrzeugführer, der nach einem Unfall nicht anhält, d.h. nicht auf der Unfallstelle bleibt, sondern seine Fahrt fortsetzt. Das ist auch die Meinung von SCHULTZ, Die Strafbestimmungen des SVG, S. 218. d) Endlich spricht auch nicht etwa der Sinn des Art. 92 Abs. 2 SVG dafür, dass nur die vorsätzliche Begehung mit Strafe bedroht sein soll (vgl. Art. 333 Abs. 3 StGB ). Die Bestimmung will die Opfer eines Verkehrsunfalls vor gesundheitlicher und wirtschaftlicher Gefährdung bewahren und die Aufklärung der Unfallursachen ermöglichen (SCHULTZ, Strafbestimmungen des SVG, S. 219). Dieser Zweck kann aber nicht mit der Ahndung bloss der vorsätzlichen Unfallflucht erreicht werden. Häufig könnte der Unfallflüchtige sonst mit Erfolg geltendmachen, er habe weder um die Verletzung oder Tötung eines Menschen gewusst, noch habe sich ihm diese Möglichkeit zwingend aufgedrängt. Soll Art. 92 Abs. 2 SVG sein Ziel erreichen, so muss darum auch die fahrlässige Begehung unter Strafe gestellt sein.</w:t>
      </w:r>
    </w:p>
    <w:p>
      <w:r>
        <w:rPr>
          <w:b/>
        </w:rPr>
        <w:t>E. 3</w:t>
      </w:r>
    </w:p>
    <w:p>
      <w:r>
        <w:t>Nun nimmt das Obergericht als erstellt an, dass Zauser im Moment der Kollision mit dem Fussgänger einen "Klapf" gehört und sich nach seinen eigenen Angaben gesagt hat, dass "etwas nicht stimme". Nachdem keine seiner angeblichen Vermutungen über die Herkunft dieses Knalls bestätigt wurde, habe Zauser sich nicht mit der von ihm vorgenommenen oberflächlichen Nachschau begnügen dürfen; vielmehr hätte er zumindest um das Fahrzeug herumgehen müssen. Dass er den Verletzten nicht gesehen und daher seinen gesetzlichen Pflichten nicht habe nachkommen können, sei demnach einzig der gröblichen Missachtung seiner sich auf Grund des vernommenen BGE 93 IV 43 S. 47 ungewöhnlichen Knalls ergebenden Pflicht zur sorgfältigen Abklärung der Ursache desselben zuzuschreiben. Damit stellt die Vorinstanz selbst fest, dass Fahrlässigkeit auch hinsichtlich Abs. 2 von Art. 92 SVG gegeben ist. Nach dem Gesagten ist ihr Urteil in diesem Punkt daher aufzuheben und die Sache zur Bestrafung Zausers wegen fahrlässiger Verletzung von Art. 92 Abs. 2 SVG , unter Neufestsetzung der Strafe, zurückzuweisen.</w:t>
      </w:r>
    </w:p>
    <w:p>
      <w:r>
        <w:rPr>
          <w:b/>
        </w:rPr>
        <w:t>E. 4</w:t>
      </w:r>
    </w:p>
    <w:p>
      <w:r>
        <w:t>... Dispositiv Demnach erkennt der Kassationshof: Die Nichtigkeitsbeschwerde wird gutgeheissen, das Urteil des Obergerichts des Kantons Zürich vom 13. September 1966 aufgehoben und die Sache zur Verurteilung gemäss Art. 92 Abs. 2 SVG und zur Neufestsetzung der Strafe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